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BADC" w14:textId="29AAF6D9" w:rsidR="00A25226" w:rsidRDefault="00A25226" w:rsidP="00A25226">
      <w:pPr>
        <w:pStyle w:val="Title"/>
        <w:jc w:val="center"/>
        <w:rPr>
          <w:rFonts w:eastAsia="Times New Roman"/>
        </w:rPr>
      </w:pPr>
      <w:r w:rsidRPr="00A25226">
        <w:rPr>
          <w:rFonts w:eastAsia="Times New Roman"/>
        </w:rPr>
        <w:t>Sonoma County Homeless Coalition FY 2024-2025 Local Homelessness Services Notice of Funding Availability (NOFA)</w:t>
      </w:r>
    </w:p>
    <w:p w14:paraId="1ECCB9AD" w14:textId="3E204844" w:rsidR="00A25226" w:rsidRPr="00A25226" w:rsidRDefault="00A25226" w:rsidP="00A25226">
      <w:pPr>
        <w:pStyle w:val="Title"/>
        <w:jc w:val="center"/>
      </w:pPr>
      <w:r>
        <w:t>Frequently Asked Questions (FAQ)</w:t>
      </w:r>
    </w:p>
    <w:p w14:paraId="0A0FDA47" w14:textId="69FF8C9E" w:rsidR="00A25226" w:rsidRDefault="00A25226" w:rsidP="00A25226">
      <w:pPr>
        <w:pStyle w:val="Heading1"/>
      </w:pPr>
      <w:r>
        <w:t>Question 1:</w:t>
      </w:r>
    </w:p>
    <w:p w14:paraId="4E84D1BA" w14:textId="705F10AE" w:rsidR="00AC2C00" w:rsidRDefault="00AC2C00" w:rsidP="00A25226">
      <w:pPr>
        <w:pStyle w:val="NormalWeb"/>
        <w:spacing w:before="0" w:beforeAutospacing="0" w:after="120" w:afterAutospacing="0"/>
      </w:pPr>
      <w:r>
        <w:t>Would a project funded by Homekey through a jurisdiction be eligible for direct funding through the NOFA since such a project is technically not a renewal, even though it is already operating?</w:t>
      </w:r>
    </w:p>
    <w:p w14:paraId="647975AF" w14:textId="0723BCEC" w:rsidR="00A25226" w:rsidRDefault="00A25226" w:rsidP="00A25226">
      <w:pPr>
        <w:pStyle w:val="Heading2"/>
      </w:pPr>
      <w:r>
        <w:t>Answer:</w:t>
      </w:r>
    </w:p>
    <w:p w14:paraId="027FB246" w14:textId="64B3E588" w:rsidR="00AC2C00" w:rsidRPr="00A25226" w:rsidRDefault="0080663C" w:rsidP="00A25226">
      <w:pPr>
        <w:shd w:val="clear" w:color="auto" w:fill="FFFFFF"/>
        <w:spacing w:before="120" w:after="120" w:line="240" w:lineRule="auto"/>
        <w:rPr>
          <w:b/>
          <w:bCs/>
        </w:rPr>
      </w:pPr>
      <w:r w:rsidRPr="00A25226">
        <w:rPr>
          <w:b/>
          <w:bCs/>
          <w:color w:val="000000"/>
        </w:rPr>
        <w:t xml:space="preserve">If the questioner is referring to an existing Interim Housing site funded by Project </w:t>
      </w:r>
      <w:proofErr w:type="spellStart"/>
      <w:r w:rsidRPr="00A25226">
        <w:rPr>
          <w:b/>
          <w:bCs/>
          <w:color w:val="000000"/>
        </w:rPr>
        <w:t>Homekey</w:t>
      </w:r>
      <w:proofErr w:type="spellEnd"/>
      <w:r w:rsidRPr="00A25226">
        <w:rPr>
          <w:b/>
          <w:bCs/>
          <w:color w:val="000000"/>
        </w:rPr>
        <w:t xml:space="preserve">, such as </w:t>
      </w:r>
      <w:proofErr w:type="spellStart"/>
      <w:r w:rsidRPr="00A25226">
        <w:rPr>
          <w:b/>
          <w:bCs/>
          <w:color w:val="000000"/>
        </w:rPr>
        <w:t>Labath</w:t>
      </w:r>
      <w:proofErr w:type="spellEnd"/>
      <w:r w:rsidRPr="00A25226">
        <w:rPr>
          <w:b/>
          <w:bCs/>
          <w:color w:val="000000"/>
        </w:rPr>
        <w:t xml:space="preserve"> Landing in Rohnert Park or the L&amp;M Village in Healdsburg, there is not a need to apply for the Coalition Board’s dedicated set-aside for support of operational expenses relating to Homekey Interim Housing projects.  </w:t>
      </w:r>
    </w:p>
    <w:p w14:paraId="02EDD0CD" w14:textId="5AFDB2F7" w:rsidR="00A25226" w:rsidRDefault="00A25226" w:rsidP="00A25226">
      <w:pPr>
        <w:pStyle w:val="Heading1"/>
      </w:pPr>
      <w:r>
        <w:t>Question 2:</w:t>
      </w:r>
    </w:p>
    <w:p w14:paraId="4DA50C54" w14:textId="18D6C91B" w:rsidR="00AC2C00" w:rsidRDefault="00AC2C00" w:rsidP="00A25226">
      <w:pPr>
        <w:shd w:val="clear" w:color="auto" w:fill="FFFFFF"/>
        <w:spacing w:before="120" w:after="120" w:line="240" w:lineRule="auto"/>
      </w:pPr>
      <w:r w:rsidRPr="00AC2C00">
        <w:rPr>
          <w:rFonts w:ascii="Calibri" w:hAnsi="Calibri" w:cs="Calibri"/>
        </w:rPr>
        <w:t>Would a project funded by Measure O funds be eligible as a renewal project through the NOFA, even though it is already operating?</w:t>
      </w:r>
    </w:p>
    <w:p w14:paraId="64E75889" w14:textId="68EA1A9D" w:rsidR="00A25226" w:rsidRDefault="00A25226" w:rsidP="00A25226">
      <w:pPr>
        <w:pStyle w:val="Heading2"/>
      </w:pPr>
      <w:r>
        <w:t>Answer:</w:t>
      </w:r>
    </w:p>
    <w:p w14:paraId="67A6A903" w14:textId="0527DA1E" w:rsidR="0080663C" w:rsidRPr="00A25226" w:rsidRDefault="0080663C" w:rsidP="00A25226">
      <w:pPr>
        <w:shd w:val="clear" w:color="auto" w:fill="FFFFFF"/>
        <w:spacing w:before="120" w:after="120" w:line="240" w:lineRule="auto"/>
        <w:ind w:right="-450"/>
        <w:rPr>
          <w:b/>
          <w:bCs/>
          <w:color w:val="000000"/>
        </w:rPr>
      </w:pPr>
      <w:r w:rsidRPr="00A25226">
        <w:rPr>
          <w:b/>
          <w:bCs/>
          <w:color w:val="000000"/>
        </w:rPr>
        <w:t xml:space="preserve">We appreciate the question and should provide some context here.  We do not know for certain if a new Measure O NOFA will be coming out in 2024.  It may, but it may not.  A project that received funding from the 2023 Measure O NOFA (a NOFA that included $3M), may be eligible as a renewal project under this NOFA.  We encourage anyone who had a Measure O project that requires ongoing funding to submit to as many funding opportunities as possible, including the Local Homelessness Services NOFA.  </w:t>
      </w:r>
    </w:p>
    <w:p w14:paraId="5814E4BE" w14:textId="77777777" w:rsidR="0080663C" w:rsidRDefault="0080663C" w:rsidP="0080663C">
      <w:pPr>
        <w:pStyle w:val="ListParagraph"/>
        <w:shd w:val="clear" w:color="auto" w:fill="FFFFFF"/>
        <w:spacing w:before="120" w:after="120" w:line="240" w:lineRule="auto"/>
        <w:ind w:left="1080" w:right="-450"/>
        <w:rPr>
          <w:b/>
          <w:bCs/>
          <w:color w:val="000000"/>
        </w:rPr>
      </w:pPr>
    </w:p>
    <w:p w14:paraId="77C489B7" w14:textId="71D19925" w:rsidR="0055342C" w:rsidRDefault="0055342C" w:rsidP="0055342C">
      <w:pPr>
        <w:shd w:val="clear" w:color="auto" w:fill="FFFFFF"/>
        <w:spacing w:before="120" w:after="120" w:line="240" w:lineRule="auto"/>
        <w:ind w:right="-450"/>
        <w:rPr>
          <w:b/>
          <w:bCs/>
          <w:color w:val="000000"/>
        </w:rPr>
      </w:pPr>
    </w:p>
    <w:p w14:paraId="10ED1422" w14:textId="722A2135" w:rsidR="0055342C" w:rsidRDefault="0055342C" w:rsidP="0055342C">
      <w:pPr>
        <w:shd w:val="clear" w:color="auto" w:fill="FFFFFF"/>
        <w:spacing w:before="120" w:after="120" w:line="240" w:lineRule="auto"/>
        <w:ind w:right="-450"/>
        <w:rPr>
          <w:b/>
          <w:bCs/>
          <w:color w:val="000000"/>
        </w:rPr>
      </w:pPr>
    </w:p>
    <w:p w14:paraId="5548EBAF" w14:textId="6986751C" w:rsidR="0055342C" w:rsidRDefault="0055342C" w:rsidP="0055342C">
      <w:pPr>
        <w:shd w:val="clear" w:color="auto" w:fill="FFFFFF"/>
        <w:spacing w:before="120" w:after="120" w:line="240" w:lineRule="auto"/>
        <w:ind w:right="-450"/>
        <w:rPr>
          <w:b/>
          <w:bCs/>
          <w:color w:val="000000"/>
        </w:rPr>
      </w:pPr>
    </w:p>
    <w:p w14:paraId="66479986" w14:textId="63D9882A" w:rsidR="0055342C" w:rsidRDefault="0055342C" w:rsidP="0055342C">
      <w:pPr>
        <w:shd w:val="clear" w:color="auto" w:fill="FFFFFF"/>
        <w:spacing w:before="120" w:after="120" w:line="240" w:lineRule="auto"/>
        <w:ind w:right="-450"/>
        <w:rPr>
          <w:b/>
          <w:bCs/>
          <w:color w:val="000000"/>
        </w:rPr>
      </w:pPr>
    </w:p>
    <w:p w14:paraId="2B498EF9" w14:textId="3FFEA685" w:rsidR="0055342C" w:rsidRDefault="0055342C" w:rsidP="0055342C">
      <w:pPr>
        <w:shd w:val="clear" w:color="auto" w:fill="FFFFFF"/>
        <w:spacing w:before="120" w:after="120" w:line="240" w:lineRule="auto"/>
        <w:ind w:right="-450"/>
        <w:rPr>
          <w:b/>
          <w:bCs/>
          <w:color w:val="000000"/>
        </w:rPr>
      </w:pPr>
    </w:p>
    <w:p w14:paraId="274721C5" w14:textId="2E5E5CA8" w:rsidR="0055342C" w:rsidRPr="0055342C" w:rsidRDefault="0055342C" w:rsidP="0055342C">
      <w:pPr>
        <w:shd w:val="clear" w:color="auto" w:fill="FFFFFF"/>
        <w:spacing w:before="120" w:after="120" w:line="240" w:lineRule="auto"/>
        <w:ind w:right="-450"/>
        <w:rPr>
          <w:b/>
          <w:bCs/>
          <w:color w:val="000000"/>
        </w:rPr>
      </w:pPr>
    </w:p>
    <w:p w14:paraId="4B4D14C6" w14:textId="77777777" w:rsidR="0055342C" w:rsidRPr="0055342C" w:rsidRDefault="0055342C" w:rsidP="0055342C">
      <w:pPr>
        <w:shd w:val="clear" w:color="auto" w:fill="FFFFFF"/>
        <w:spacing w:before="120" w:after="120" w:line="240" w:lineRule="auto"/>
        <w:ind w:right="-450"/>
        <w:rPr>
          <w:color w:val="000000"/>
        </w:rPr>
      </w:pPr>
    </w:p>
    <w:p w14:paraId="4623C4BE" w14:textId="77777777" w:rsidR="00AC2C00" w:rsidRDefault="00AC2C00" w:rsidP="00AC2C00">
      <w:pPr>
        <w:pStyle w:val="NormalWeb"/>
      </w:pPr>
    </w:p>
    <w:p w14:paraId="36CAACDA" w14:textId="77777777" w:rsidR="00BA60C0" w:rsidRDefault="00BA60C0"/>
    <w:sectPr w:rsidR="00BA60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1A4D" w14:textId="77777777" w:rsidR="00D128E4" w:rsidRDefault="00D128E4" w:rsidP="00A25226">
      <w:pPr>
        <w:spacing w:after="0" w:line="240" w:lineRule="auto"/>
      </w:pPr>
      <w:r>
        <w:separator/>
      </w:r>
    </w:p>
  </w:endnote>
  <w:endnote w:type="continuationSeparator" w:id="0">
    <w:p w14:paraId="485C4347" w14:textId="77777777" w:rsidR="00D128E4" w:rsidRDefault="00D128E4" w:rsidP="00A2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A4A0" w14:textId="77777777" w:rsidR="00D128E4" w:rsidRDefault="00D128E4" w:rsidP="00A25226">
      <w:pPr>
        <w:spacing w:after="0" w:line="240" w:lineRule="auto"/>
      </w:pPr>
      <w:r>
        <w:separator/>
      </w:r>
    </w:p>
  </w:footnote>
  <w:footnote w:type="continuationSeparator" w:id="0">
    <w:p w14:paraId="1A306E19" w14:textId="77777777" w:rsidR="00D128E4" w:rsidRDefault="00D128E4" w:rsidP="00A2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3EE2" w14:textId="60433011" w:rsidR="00A25226" w:rsidRDefault="00A25226" w:rsidP="00A25226">
    <w:pPr>
      <w:pStyle w:val="Header"/>
      <w:jc w:val="center"/>
    </w:pPr>
    <w:r>
      <w:rPr>
        <w:noProof/>
      </w:rPr>
      <w:drawing>
        <wp:inline distT="0" distB="0" distL="0" distR="0" wp14:anchorId="14A0FE3B" wp14:editId="2DF30CEA">
          <wp:extent cx="2298700" cy="6032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778"/>
    <w:multiLevelType w:val="hybridMultilevel"/>
    <w:tmpl w:val="4F8AD78E"/>
    <w:lvl w:ilvl="0" w:tplc="F6D2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23C65"/>
    <w:multiLevelType w:val="hybridMultilevel"/>
    <w:tmpl w:val="8F72784E"/>
    <w:lvl w:ilvl="0" w:tplc="8BA48A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225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394955">
    <w:abstractNumId w:val="1"/>
  </w:num>
  <w:num w:numId="2" w16cid:durableId="1562861318">
    <w:abstractNumId w:val="2"/>
  </w:num>
  <w:num w:numId="3" w16cid:durableId="121130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00"/>
    <w:rsid w:val="002A5157"/>
    <w:rsid w:val="0055342C"/>
    <w:rsid w:val="0080663C"/>
    <w:rsid w:val="008C03E2"/>
    <w:rsid w:val="00A25226"/>
    <w:rsid w:val="00AC2C00"/>
    <w:rsid w:val="00BA60C0"/>
    <w:rsid w:val="00C32746"/>
    <w:rsid w:val="00D128E4"/>
    <w:rsid w:val="00F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C613"/>
  <w15:chartTrackingRefBased/>
  <w15:docId w15:val="{F5F23366-5AEE-4162-8108-8CF179E4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C0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C2C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25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22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2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26"/>
  </w:style>
  <w:style w:type="paragraph" w:styleId="Footer">
    <w:name w:val="footer"/>
    <w:basedOn w:val="Normal"/>
    <w:link w:val="FooterChar"/>
    <w:uiPriority w:val="99"/>
    <w:unhideWhenUsed/>
    <w:rsid w:val="00A2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26"/>
  </w:style>
  <w:style w:type="character" w:customStyle="1" w:styleId="Heading1Char">
    <w:name w:val="Heading 1 Char"/>
    <w:basedOn w:val="DefaultParagraphFont"/>
    <w:link w:val="Heading1"/>
    <w:uiPriority w:val="9"/>
    <w:rsid w:val="00A2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5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1149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Mottern</dc:creator>
  <cp:keywords/>
  <dc:description/>
  <cp:lastModifiedBy>Karissa White</cp:lastModifiedBy>
  <cp:revision>2</cp:revision>
  <dcterms:created xsi:type="dcterms:W3CDTF">2024-01-09T23:02:00Z</dcterms:created>
  <dcterms:modified xsi:type="dcterms:W3CDTF">2024-01-09T23:02:00Z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864a69ba-3445-4b5e-ad28-18588a098ac5</vt:lpwstr>
  </property>
</Properties>
</file>